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2023年</w:t>
      </w:r>
      <w:r>
        <w:rPr>
          <w:rFonts w:hint="eastAsia" w:ascii="方正小标宋简体" w:hAnsi="方正小标宋简体" w:eastAsia="方正小标宋简体" w:cs="方正小标宋简体"/>
          <w:sz w:val="44"/>
          <w:szCs w:val="44"/>
        </w:rPr>
        <w:t>新增医疗服务价格项目申报表</w:t>
      </w:r>
    </w:p>
    <w:p>
      <w:pPr>
        <w:spacing w:line="600" w:lineRule="auto"/>
        <w:rPr>
          <w:rFonts w:eastAsia="Times New Roman"/>
          <w:sz w:val="24"/>
        </w:rPr>
      </w:pPr>
      <w:r>
        <w:rPr>
          <w:rFonts w:ascii="楷体" w:hAnsi="楷体" w:eastAsia="楷体" w:cs="楷体"/>
          <w:sz w:val="24"/>
        </w:rPr>
        <w:t>申报单位（医疗机构公章）：</w:t>
      </w:r>
      <w:r>
        <w:rPr>
          <w:rFonts w:eastAsia="Times New Roman"/>
          <w:sz w:val="24"/>
        </w:rPr>
        <w:t xml:space="preserve">     </w:t>
      </w:r>
      <w:r>
        <w:rPr>
          <w:rFonts w:hint="eastAsia"/>
          <w:sz w:val="24"/>
        </w:rPr>
        <w:t xml:space="preserve">       </w:t>
      </w:r>
      <w:r>
        <w:rPr>
          <w:rFonts w:ascii="楷体" w:hAnsi="楷体" w:eastAsia="楷体" w:cs="楷体"/>
          <w:sz w:val="24"/>
        </w:rPr>
        <w:t>申报日期：</w:t>
      </w:r>
      <w:r>
        <w:rPr>
          <w:rFonts w:hint="eastAsia" w:ascii="楷体" w:hAnsi="楷体" w:eastAsia="楷体" w:cs="楷体"/>
          <w:sz w:val="24"/>
        </w:rPr>
        <w:t>XX年XX月XX日</w:t>
      </w:r>
      <w:r>
        <w:rPr>
          <w:rFonts w:eastAsia="Times New Roman"/>
          <w:sz w:val="24"/>
        </w:rPr>
        <w:t xml:space="preserve"> </w:t>
      </w:r>
    </w:p>
    <w:tbl>
      <w:tblPr>
        <w:tblStyle w:val="8"/>
        <w:tblW w:w="8947" w:type="dxa"/>
        <w:jc w:val="center"/>
        <w:tblLayout w:type="fixed"/>
        <w:tblCellMar>
          <w:top w:w="0" w:type="dxa"/>
          <w:left w:w="10" w:type="dxa"/>
          <w:bottom w:w="0" w:type="dxa"/>
          <w:right w:w="10" w:type="dxa"/>
        </w:tblCellMar>
      </w:tblPr>
      <w:tblGrid>
        <w:gridCol w:w="1738"/>
        <w:gridCol w:w="1486"/>
        <w:gridCol w:w="1248"/>
        <w:gridCol w:w="1491"/>
        <w:gridCol w:w="1526"/>
        <w:gridCol w:w="1458"/>
      </w:tblGrid>
      <w:tr>
        <w:tblPrEx>
          <w:tblCellMar>
            <w:top w:w="0" w:type="dxa"/>
            <w:left w:w="10" w:type="dxa"/>
            <w:bottom w:w="0" w:type="dxa"/>
            <w:right w:w="10" w:type="dxa"/>
          </w:tblCellMar>
        </w:tblPrEx>
        <w:trPr>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pPr>
            <w:r>
              <w:rPr>
                <w:rFonts w:ascii="宋体" w:hAnsi="宋体" w:cs="宋体"/>
                <w:sz w:val="24"/>
              </w:rPr>
              <w:t>类</w:t>
            </w:r>
            <w:r>
              <w:rPr>
                <w:rFonts w:eastAsia="Times New Roman"/>
                <w:sz w:val="24"/>
              </w:rPr>
              <w:t xml:space="preserve">   </w:t>
            </w:r>
            <w:r>
              <w:rPr>
                <w:rFonts w:ascii="宋体" w:hAnsi="宋体" w:cs="宋体"/>
                <w:sz w:val="24"/>
              </w:rPr>
              <w:t>别</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auto"/>
              <w:rPr>
                <w:rFonts w:eastAsia="Times New Roman"/>
                <w:sz w:val="24"/>
              </w:rPr>
            </w:pPr>
            <w:r>
              <w:rPr>
                <w:rFonts w:ascii="宋体" w:hAnsi="宋体" w:cs="宋体"/>
                <w:sz w:val="24"/>
              </w:rPr>
              <w:t>一、综合医疗服务类</w:t>
            </w:r>
            <w:r>
              <w:rPr>
                <w:rFonts w:eastAsia="Times New Roman"/>
                <w:sz w:val="24"/>
              </w:rPr>
              <w:t xml:space="preserve">  </w:t>
            </w:r>
            <w:r>
              <w:rPr>
                <w:rFonts w:ascii="宋体" w:hAnsi="宋体" w:cs="宋体"/>
                <w:sz w:val="24"/>
              </w:rPr>
              <w:t>□</w:t>
            </w:r>
            <w:r>
              <w:rPr>
                <w:rFonts w:eastAsia="Times New Roman"/>
                <w:sz w:val="24"/>
              </w:rPr>
              <w:t xml:space="preserve">  </w:t>
            </w:r>
            <w:r>
              <w:rPr>
                <w:rFonts w:ascii="宋体" w:hAnsi="宋体" w:cs="宋体"/>
                <w:sz w:val="24"/>
              </w:rPr>
              <w:t>二、医技诊疗类</w:t>
            </w:r>
            <w:r>
              <w:rPr>
                <w:rFonts w:eastAsia="Times New Roman"/>
                <w:sz w:val="24"/>
              </w:rPr>
              <w:t xml:space="preserve">         </w:t>
            </w:r>
            <w:r>
              <w:rPr>
                <w:rFonts w:ascii="宋体" w:hAnsi="宋体" w:cs="宋体"/>
                <w:sz w:val="24"/>
              </w:rPr>
              <w:t>□</w:t>
            </w:r>
          </w:p>
          <w:p>
            <w:pPr>
              <w:spacing w:line="480" w:lineRule="auto"/>
            </w:pPr>
            <w:r>
              <w:rPr>
                <w:rFonts w:ascii="宋体" w:hAnsi="宋体" w:cs="宋体"/>
                <w:sz w:val="24"/>
              </w:rPr>
              <w:t>三、临床诊疗类</w:t>
            </w:r>
            <w:r>
              <w:rPr>
                <w:rFonts w:eastAsia="Times New Roman"/>
                <w:sz w:val="24"/>
              </w:rPr>
              <w:t xml:space="preserve">      </w:t>
            </w:r>
            <w:r>
              <w:rPr>
                <w:rFonts w:ascii="宋体" w:hAnsi="宋体" w:cs="宋体"/>
                <w:sz w:val="24"/>
              </w:rPr>
              <w:t>□</w:t>
            </w:r>
            <w:r>
              <w:rPr>
                <w:rFonts w:eastAsia="Times New Roman"/>
                <w:sz w:val="24"/>
              </w:rPr>
              <w:t xml:space="preserve">  </w:t>
            </w:r>
            <w:r>
              <w:rPr>
                <w:rFonts w:ascii="宋体" w:hAnsi="宋体" w:cs="宋体"/>
                <w:sz w:val="24"/>
              </w:rPr>
              <w:t>四、中医及民族医诊疗类</w:t>
            </w:r>
            <w:r>
              <w:rPr>
                <w:rFonts w:eastAsia="Times New Roman"/>
                <w:sz w:val="24"/>
              </w:rPr>
              <w:t xml:space="preserve"> </w:t>
            </w:r>
            <w:r>
              <w:rPr>
                <w:rFonts w:ascii="宋体" w:hAnsi="宋体" w:cs="宋体"/>
                <w:sz w:val="24"/>
              </w:rPr>
              <w:t>□</w:t>
            </w:r>
          </w:p>
        </w:tc>
      </w:tr>
      <w:tr>
        <w:tblPrEx>
          <w:tblCellMar>
            <w:top w:w="0" w:type="dxa"/>
            <w:left w:w="10" w:type="dxa"/>
            <w:bottom w:w="0" w:type="dxa"/>
            <w:right w:w="10" w:type="dxa"/>
          </w:tblCellMar>
        </w:tblPrEx>
        <w:trPr>
          <w:trHeight w:val="542"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rPr>
            </w:pPr>
            <w:r>
              <w:rPr>
                <w:rFonts w:ascii="宋体" w:hAnsi="宋体" w:cs="宋体"/>
                <w:sz w:val="24"/>
              </w:rPr>
              <w:t>项目编码</w:t>
            </w:r>
          </w:p>
        </w:tc>
        <w:tc>
          <w:tcPr>
            <w:tcW w:w="27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hint="eastAsia" w:ascii="宋体" w:hAnsi="宋体" w:eastAsia="宋体" w:cs="宋体"/>
                <w:sz w:val="22"/>
                <w:lang w:eastAsia="zh-CN"/>
              </w:rPr>
            </w:pPr>
          </w:p>
        </w:tc>
        <w:tc>
          <w:tcPr>
            <w:tcW w:w="14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rPr>
            </w:pPr>
            <w:r>
              <w:rPr>
                <w:rFonts w:ascii="宋体" w:hAnsi="宋体" w:cs="宋体"/>
                <w:sz w:val="24"/>
              </w:rPr>
              <w:t>项目名称</w:t>
            </w:r>
          </w:p>
        </w:tc>
        <w:tc>
          <w:tcPr>
            <w:tcW w:w="298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r>
      <w:tr>
        <w:tblPrEx>
          <w:tblCellMar>
            <w:top w:w="0" w:type="dxa"/>
            <w:left w:w="10" w:type="dxa"/>
            <w:bottom w:w="0" w:type="dxa"/>
            <w:right w:w="10" w:type="dxa"/>
          </w:tblCellMar>
        </w:tblPrEx>
        <w:trPr>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rPr>
            </w:pPr>
            <w:r>
              <w:rPr>
                <w:rFonts w:ascii="宋体" w:hAnsi="宋体" w:cs="宋体"/>
                <w:sz w:val="24"/>
              </w:rPr>
              <w:t>项目内涵</w:t>
            </w:r>
          </w:p>
        </w:tc>
        <w:tc>
          <w:tcPr>
            <w:tcW w:w="27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c>
          <w:tcPr>
            <w:tcW w:w="14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rPr>
            </w:pPr>
            <w:r>
              <w:rPr>
                <w:rFonts w:ascii="宋体" w:hAnsi="宋体" w:cs="宋体"/>
                <w:sz w:val="24"/>
              </w:rPr>
              <w:t>除外内容</w:t>
            </w:r>
          </w:p>
        </w:tc>
        <w:tc>
          <w:tcPr>
            <w:tcW w:w="298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r>
      <w:tr>
        <w:tblPrEx>
          <w:tblCellMar>
            <w:top w:w="0" w:type="dxa"/>
            <w:left w:w="10" w:type="dxa"/>
            <w:bottom w:w="0" w:type="dxa"/>
            <w:right w:w="10" w:type="dxa"/>
          </w:tblCellMar>
        </w:tblPrEx>
        <w:trPr>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rPr>
            </w:pPr>
            <w:r>
              <w:rPr>
                <w:rFonts w:ascii="宋体" w:hAnsi="宋体" w:cs="宋体"/>
                <w:sz w:val="24"/>
              </w:rPr>
              <w:t>计价单位</w:t>
            </w:r>
          </w:p>
        </w:tc>
        <w:tc>
          <w:tcPr>
            <w:tcW w:w="14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c>
          <w:tcPr>
            <w:tcW w:w="12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pPr>
            <w:r>
              <w:rPr>
                <w:rFonts w:ascii="宋体" w:hAnsi="宋体" w:cs="宋体"/>
                <w:sz w:val="24"/>
              </w:rPr>
              <w:t>说</w:t>
            </w:r>
            <w:r>
              <w:rPr>
                <w:rFonts w:eastAsia="Times New Roman"/>
                <w:sz w:val="24"/>
              </w:rPr>
              <w:t xml:space="preserve">  </w:t>
            </w:r>
            <w:r>
              <w:rPr>
                <w:rFonts w:ascii="宋体" w:hAnsi="宋体" w:cs="宋体"/>
                <w:sz w:val="24"/>
              </w:rPr>
              <w:t>明</w:t>
            </w:r>
          </w:p>
        </w:tc>
        <w:tc>
          <w:tcPr>
            <w:tcW w:w="14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highlight w:val="yellow"/>
              </w:rPr>
            </w:pPr>
            <w:r>
              <w:rPr>
                <w:rFonts w:hint="eastAsia" w:ascii="宋体" w:hAnsi="宋体" w:cs="宋体"/>
                <w:sz w:val="24"/>
                <w:highlight w:val="none"/>
              </w:rPr>
              <w:t>拟定</w:t>
            </w:r>
            <w:r>
              <w:rPr>
                <w:rFonts w:ascii="宋体" w:hAnsi="宋体" w:cs="宋体"/>
                <w:sz w:val="24"/>
                <w:highlight w:val="none"/>
              </w:rPr>
              <w:t>价格</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600" w:lineRule="auto"/>
              <w:rPr>
                <w:rFonts w:ascii="宋体" w:hAnsi="宋体" w:cs="宋体"/>
                <w:sz w:val="22"/>
              </w:rPr>
            </w:pPr>
          </w:p>
        </w:tc>
      </w:tr>
      <w:tr>
        <w:tblPrEx>
          <w:tblCellMar>
            <w:top w:w="0" w:type="dxa"/>
            <w:left w:w="10" w:type="dxa"/>
            <w:bottom w:w="0" w:type="dxa"/>
            <w:right w:w="10" w:type="dxa"/>
          </w:tblCellMar>
        </w:tblPrEx>
        <w:trPr>
          <w:jc w:val="center"/>
        </w:trPr>
        <w:tc>
          <w:tcPr>
            <w:tcW w:w="322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cs="宋体"/>
                <w:sz w:val="22"/>
              </w:rPr>
            </w:pPr>
            <w:r>
              <w:rPr>
                <w:rFonts w:hint="eastAsia" w:ascii="宋体" w:hAnsi="宋体" w:cs="宋体"/>
                <w:sz w:val="22"/>
              </w:rPr>
              <w:t>是否属卫生行政部门规定的禁止应用于临床的医疗技术</w:t>
            </w:r>
          </w:p>
        </w:tc>
        <w:tc>
          <w:tcPr>
            <w:tcW w:w="12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cs="宋体"/>
                <w:sz w:val="24"/>
              </w:rPr>
            </w:pPr>
            <w:r>
              <w:rPr>
                <w:rFonts w:hint="eastAsia" w:ascii="宋体" w:hAnsi="宋体" w:cs="宋体"/>
                <w:sz w:val="24"/>
              </w:rPr>
              <w:t>是/否</w:t>
            </w:r>
          </w:p>
        </w:tc>
        <w:tc>
          <w:tcPr>
            <w:tcW w:w="301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cs="宋体"/>
                <w:sz w:val="24"/>
              </w:rPr>
            </w:pPr>
            <w:r>
              <w:rPr>
                <w:rFonts w:hint="eastAsia" w:ascii="宋体" w:hAnsi="宋体" w:cs="宋体"/>
                <w:sz w:val="22"/>
              </w:rPr>
              <w:t>是否属卫生行政部门规定的需要重点管理的医疗技术</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2"/>
              </w:rPr>
            </w:pPr>
            <w:r>
              <w:rPr>
                <w:rFonts w:hint="eastAsia" w:ascii="宋体" w:hAnsi="宋体" w:cs="宋体"/>
                <w:sz w:val="24"/>
              </w:rPr>
              <w:t>是/否（如是，须提供卫生行政部门同意备案的证明材料）</w:t>
            </w:r>
          </w:p>
        </w:tc>
      </w:tr>
      <w:tr>
        <w:tblPrEx>
          <w:tblCellMar>
            <w:top w:w="0" w:type="dxa"/>
            <w:left w:w="10" w:type="dxa"/>
            <w:bottom w:w="0" w:type="dxa"/>
            <w:right w:w="10" w:type="dxa"/>
          </w:tblCellMar>
        </w:tblPrEx>
        <w:trPr>
          <w:trHeight w:val="888"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ascii="宋体" w:hAnsi="宋体" w:cs="宋体"/>
                <w:sz w:val="24"/>
              </w:rPr>
              <w:t>项目适用范围及临床意义</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2"/>
              </w:rPr>
            </w:pPr>
          </w:p>
        </w:tc>
      </w:tr>
      <w:tr>
        <w:tblPrEx>
          <w:tblCellMar>
            <w:top w:w="0" w:type="dxa"/>
            <w:left w:w="10" w:type="dxa"/>
            <w:bottom w:w="0" w:type="dxa"/>
            <w:right w:w="10" w:type="dxa"/>
          </w:tblCellMar>
        </w:tblPrEx>
        <w:trPr>
          <w:trHeight w:val="746"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ascii="宋体" w:hAnsi="宋体" w:cs="宋体"/>
                <w:sz w:val="24"/>
              </w:rPr>
              <w:t>工作原理</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2"/>
              </w:rPr>
            </w:pPr>
          </w:p>
        </w:tc>
      </w:tr>
      <w:tr>
        <w:tblPrEx>
          <w:tblCellMar>
            <w:top w:w="0" w:type="dxa"/>
            <w:left w:w="10" w:type="dxa"/>
            <w:bottom w:w="0" w:type="dxa"/>
            <w:right w:w="10" w:type="dxa"/>
          </w:tblCellMar>
        </w:tblPrEx>
        <w:trPr>
          <w:trHeight w:val="664"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ascii="宋体" w:hAnsi="宋体" w:cs="宋体"/>
                <w:sz w:val="24"/>
              </w:rPr>
              <w:t>操作规范</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2"/>
              </w:rPr>
            </w:pPr>
          </w:p>
        </w:tc>
      </w:tr>
      <w:tr>
        <w:tblPrEx>
          <w:tblCellMar>
            <w:top w:w="0" w:type="dxa"/>
            <w:left w:w="10" w:type="dxa"/>
            <w:bottom w:w="0" w:type="dxa"/>
            <w:right w:w="10" w:type="dxa"/>
          </w:tblCellMar>
        </w:tblPrEx>
        <w:trPr>
          <w:trHeight w:val="880"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r>
              <w:rPr>
                <w:rFonts w:ascii="宋体" w:hAnsi="宋体" w:cs="宋体"/>
                <w:sz w:val="24"/>
              </w:rPr>
              <w:t>质量标准</w:t>
            </w:r>
            <w:r>
              <w:rPr>
                <w:rFonts w:eastAsia="Times New Roman"/>
                <w:sz w:val="24"/>
              </w:rPr>
              <w:t xml:space="preserve">    </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hint="eastAsia" w:ascii="宋体" w:hAnsi="宋体" w:cs="宋体"/>
                <w:sz w:val="24"/>
              </w:rPr>
              <w:t>涉及到医疗器械（独立计费耗材及设备）的，应填写医疗</w:t>
            </w:r>
            <w:r>
              <w:rPr>
                <w:rFonts w:hint="eastAsia" w:ascii="宋体" w:hAnsi="宋体" w:cs="宋体"/>
                <w:sz w:val="24"/>
                <w:lang w:val="en-US" w:eastAsia="zh-CN"/>
              </w:rPr>
              <w:t>器械</w:t>
            </w:r>
            <w:r>
              <w:rPr>
                <w:rFonts w:hint="eastAsia" w:ascii="宋体" w:hAnsi="宋体" w:cs="宋体"/>
                <w:sz w:val="24"/>
              </w:rPr>
              <w:t>名称、市场监管部门的注册证编号及产品标准编号等信息。</w:t>
            </w:r>
          </w:p>
        </w:tc>
      </w:tr>
      <w:tr>
        <w:tblPrEx>
          <w:tblCellMar>
            <w:top w:w="0" w:type="dxa"/>
            <w:left w:w="10" w:type="dxa"/>
            <w:bottom w:w="0" w:type="dxa"/>
            <w:right w:w="10" w:type="dxa"/>
          </w:tblCellMar>
        </w:tblPrEx>
        <w:trPr>
          <w:trHeight w:val="2806" w:hRule="atLeast"/>
          <w:jc w:val="center"/>
        </w:trPr>
        <w:tc>
          <w:tcPr>
            <w:tcW w:w="1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ascii="宋体" w:hAnsi="宋体" w:cs="宋体"/>
                <w:sz w:val="24"/>
              </w:rPr>
              <w:t>其他要说明的情况（新增理由）</w:t>
            </w:r>
          </w:p>
        </w:tc>
        <w:tc>
          <w:tcPr>
            <w:tcW w:w="7209"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ascii="宋体" w:hAnsi="宋体" w:cs="宋体"/>
                <w:sz w:val="24"/>
              </w:rPr>
              <w:t>重点说明：</w:t>
            </w:r>
            <w:r>
              <w:rPr>
                <w:rFonts w:hint="eastAsia" w:ascii="宋体" w:hAnsi="宋体" w:cs="宋体"/>
                <w:sz w:val="24"/>
              </w:rPr>
              <w:t>1</w:t>
            </w:r>
            <w:r>
              <w:rPr>
                <w:rFonts w:ascii="宋体" w:hAnsi="宋体" w:cs="宋体"/>
                <w:sz w:val="24"/>
              </w:rPr>
              <w:t>.</w:t>
            </w:r>
            <w:r>
              <w:rPr>
                <w:rFonts w:hint="eastAsia" w:ascii="宋体" w:hAnsi="宋体" w:cs="宋体"/>
                <w:sz w:val="24"/>
              </w:rPr>
              <w:t>简要概述</w:t>
            </w:r>
            <w:r>
              <w:rPr>
                <w:rFonts w:ascii="宋体" w:hAnsi="宋体" w:cs="宋体"/>
                <w:sz w:val="24"/>
              </w:rPr>
              <w:t>与</w:t>
            </w:r>
            <w:r>
              <w:rPr>
                <w:rFonts w:hint="eastAsia" w:ascii="宋体" w:hAnsi="宋体" w:cs="宋体"/>
                <w:sz w:val="24"/>
              </w:rPr>
              <w:t>同类现行</w:t>
            </w:r>
            <w:r>
              <w:rPr>
                <w:rFonts w:ascii="宋体" w:hAnsi="宋体" w:cs="宋体"/>
                <w:sz w:val="24"/>
              </w:rPr>
              <w:t>医疗服务价格</w:t>
            </w:r>
            <w:r>
              <w:rPr>
                <w:rFonts w:hint="eastAsia" w:ascii="宋体" w:hAnsi="宋体" w:cs="宋体"/>
                <w:sz w:val="24"/>
              </w:rPr>
              <w:t>项目</w:t>
            </w:r>
            <w:r>
              <w:rPr>
                <w:rFonts w:ascii="宋体" w:hAnsi="宋体" w:cs="宋体"/>
                <w:sz w:val="24"/>
              </w:rPr>
              <w:t>的差异性，对比分析两者间的经济性、先进性和必要性</w:t>
            </w:r>
            <w:r>
              <w:rPr>
                <w:rFonts w:hint="eastAsia" w:ascii="宋体" w:hAnsi="宋体" w:cs="宋体"/>
                <w:sz w:val="24"/>
              </w:rPr>
              <w:t>；2</w:t>
            </w:r>
            <w:r>
              <w:rPr>
                <w:rFonts w:ascii="宋体" w:hAnsi="宋体" w:cs="宋体"/>
                <w:sz w:val="24"/>
              </w:rPr>
              <w:t>.</w:t>
            </w:r>
            <w:r>
              <w:rPr>
                <w:rFonts w:hint="eastAsia" w:ascii="宋体" w:hAnsi="宋体" w:cs="宋体"/>
                <w:sz w:val="24"/>
              </w:rPr>
              <w:t>相关技术规范情况；3</w:t>
            </w:r>
            <w:r>
              <w:rPr>
                <w:rFonts w:ascii="宋体" w:hAnsi="宋体" w:cs="宋体"/>
                <w:sz w:val="24"/>
              </w:rPr>
              <w:t>.</w:t>
            </w:r>
            <w:r>
              <w:rPr>
                <w:rFonts w:hint="eastAsia" w:ascii="宋体" w:hAnsi="宋体" w:cs="宋体"/>
                <w:sz w:val="24"/>
              </w:rPr>
              <w:t>其余省市新增情况（列明省市数量及名称，并另附相关政策文件/截图）。</w:t>
            </w:r>
          </w:p>
        </w:tc>
      </w:tr>
    </w:tbl>
    <w:p>
      <w:pPr>
        <w:spacing w:line="600" w:lineRule="exact"/>
        <w:jc w:val="center"/>
        <w:rPr>
          <w:rFonts w:ascii="楷体" w:hAnsi="楷体" w:eastAsia="楷体" w:cs="楷体"/>
          <w:sz w:val="44"/>
        </w:rPr>
      </w:pPr>
    </w:p>
    <w:p>
      <w:pPr>
        <w:spacing w:line="600" w:lineRule="exact"/>
        <w:jc w:val="center"/>
        <w:rPr>
          <w:rFonts w:ascii="楷体" w:hAnsi="楷体" w:eastAsia="楷体" w:cs="楷体"/>
          <w:sz w:val="44"/>
        </w:rPr>
      </w:pPr>
      <w:r>
        <w:rPr>
          <w:rFonts w:ascii="楷体" w:hAnsi="楷体" w:eastAsia="楷体" w:cs="楷体"/>
          <w:sz w:val="44"/>
        </w:rPr>
        <w:t>填表说明</w:t>
      </w:r>
    </w:p>
    <w:p>
      <w:pPr>
        <w:spacing w:line="600" w:lineRule="exact"/>
        <w:jc w:val="center"/>
        <w:rPr>
          <w:rFonts w:ascii="楷体" w:hAnsi="楷体" w:eastAsia="楷体" w:cs="楷体"/>
          <w:color w:val="FF0000"/>
          <w:sz w:val="28"/>
        </w:rPr>
      </w:pPr>
      <w:r>
        <w:rPr>
          <w:rFonts w:hint="eastAsia" w:ascii="楷体" w:hAnsi="楷体" w:eastAsia="楷体" w:cs="楷体"/>
          <w:color w:val="FF0000"/>
          <w:sz w:val="28"/>
        </w:rPr>
        <w:t>（提交表格时删除）</w:t>
      </w:r>
    </w:p>
    <w:p>
      <w:pPr>
        <w:spacing w:line="600" w:lineRule="exact"/>
        <w:jc w:val="center"/>
        <w:rPr>
          <w:rFonts w:ascii="楷体" w:hAnsi="楷体" w:eastAsia="楷体" w:cs="楷体"/>
          <w:sz w:val="44"/>
        </w:rPr>
      </w:pPr>
    </w:p>
    <w:p>
      <w:pPr>
        <w:spacing w:line="560" w:lineRule="exact"/>
        <w:ind w:firstLine="640" w:firstLineChars="200"/>
        <w:rPr>
          <w:rFonts w:eastAsia="仿宋_GB2312"/>
          <w:sz w:val="32"/>
        </w:rPr>
      </w:pPr>
      <w:r>
        <w:rPr>
          <w:rFonts w:ascii="黑体" w:hAnsi="黑体" w:eastAsia="黑体"/>
          <w:sz w:val="32"/>
        </w:rPr>
        <w:t>一、</w:t>
      </w:r>
      <w:r>
        <w:rPr>
          <w:rFonts w:eastAsia="仿宋_GB2312"/>
          <w:sz w:val="32"/>
        </w:rPr>
        <w:t>申报的每一项新增医疗服务价格项目，均填写一张“新增医疗服务价格项目申报表”。</w:t>
      </w:r>
      <w:r>
        <w:rPr>
          <w:rFonts w:hint="eastAsia" w:eastAsia="仿宋_GB2312"/>
          <w:sz w:val="32"/>
        </w:rPr>
        <w:t>所有内容均须填写，不得为空，如“无”则填无，但其他要说明的情况不得填“无”。填写时，重点按照本《填写说明》和参照已有项目的标准填写，务求简</w:t>
      </w:r>
      <w:bookmarkStart w:id="0" w:name="_GoBack"/>
      <w:bookmarkEnd w:id="0"/>
      <w:r>
        <w:rPr>
          <w:rFonts w:hint="eastAsia" w:eastAsia="仿宋_GB2312"/>
          <w:sz w:val="32"/>
        </w:rPr>
        <w:t>洁、有效。</w:t>
      </w:r>
    </w:p>
    <w:p>
      <w:pPr>
        <w:spacing w:line="560" w:lineRule="exact"/>
        <w:ind w:firstLine="640" w:firstLineChars="200"/>
        <w:rPr>
          <w:rFonts w:eastAsia="仿宋_GB2312"/>
          <w:sz w:val="32"/>
        </w:rPr>
      </w:pPr>
      <w:r>
        <w:rPr>
          <w:rFonts w:ascii="黑体" w:hAnsi="黑体" w:eastAsia="黑体"/>
          <w:sz w:val="32"/>
        </w:rPr>
        <w:t>二、类别：</w:t>
      </w:r>
      <w:r>
        <w:rPr>
          <w:rFonts w:eastAsia="仿宋_GB2312"/>
          <w:sz w:val="32"/>
        </w:rPr>
        <w:t>在相应的类别后面划“√”。</w:t>
      </w:r>
    </w:p>
    <w:p>
      <w:pPr>
        <w:spacing w:line="560" w:lineRule="exact"/>
        <w:ind w:firstLine="640" w:firstLineChars="200"/>
        <w:rPr>
          <w:rFonts w:eastAsia="仿宋_GB2312"/>
          <w:sz w:val="32"/>
        </w:rPr>
      </w:pPr>
      <w:r>
        <w:rPr>
          <w:rFonts w:ascii="黑体" w:hAnsi="黑体" w:eastAsia="黑体"/>
          <w:sz w:val="32"/>
        </w:rPr>
        <w:t>三、项目编码：</w:t>
      </w:r>
      <w:r>
        <w:rPr>
          <w:rFonts w:eastAsia="仿宋_GB2312"/>
          <w:sz w:val="32"/>
        </w:rPr>
        <w:t>指新项目的顺序号</w:t>
      </w:r>
      <w:r>
        <w:rPr>
          <w:rFonts w:hint="eastAsia" w:eastAsia="仿宋_GB2312"/>
          <w:sz w:val="32"/>
        </w:rPr>
        <w:t>，</w:t>
      </w:r>
      <w:r>
        <w:rPr>
          <w:rFonts w:hint="eastAsia" w:ascii="仿宋_GB2312" w:hAnsi="宋体" w:eastAsia="仿宋_GB2312" w:cs="宋体"/>
          <w:color w:val="000000"/>
          <w:sz w:val="32"/>
          <w:szCs w:val="32"/>
        </w:rPr>
        <w:t>设为9位。从左至右第1位为一级分类码，第2位为二级分类码，第3－4位为三级分类码，第5－6位为四级分类码，第7－9位为项目顺序码。部分类别项目因分类简单，无第三、四级分类，分类编码记为“00”。</w:t>
      </w:r>
      <w:r>
        <w:rPr>
          <w:rFonts w:eastAsia="仿宋_GB2312"/>
          <w:b/>
          <w:sz w:val="32"/>
        </w:rPr>
        <w:t>填到前六位为止，最后三位用“ⅹⅹⅹ”代替。</w:t>
      </w:r>
      <w:r>
        <w:rPr>
          <w:rFonts w:eastAsia="仿宋_GB2312"/>
          <w:sz w:val="32"/>
        </w:rPr>
        <w:t>如拟在“医技诊疗类”的“肝病试验诊断”中增加一个新项目，则其“编码”填为“250305ⅹⅹⅹ”。</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四、项目名称</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为中文标准名称，部分项目名称中在括号内列出西文名称或缩写。如相关技术规范有相应操作，原则上应保持一致。部分项目名称中的“/”“-”“+”具体含义如下：</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（一）“/”表示“或者”，指并列关系。如“截指/趾术”，指截手指或截脚趾手术。</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（二）“-”表示“A 到B”或后缀为检验方法，以及部分项目的固定用法。如“破裂髂动脉瘤切除腹主动脉-双股动脉人工血管置换术”“尿比重测定-折射计法”“改良B-T 体肺分流术”等。</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（三）“+”表示“和”，指该项目由多个操作组成，如“腹腔干动脉瘤切除+腹腔干间置重建术”“骨折闭合复位+外固定术”等。</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谨慎增加人群方面的描述，如需要，按此范围参考：“小儿”指 14 周岁及以下、新生儿（0-28 天）、婴儿（28 天-1 岁）、幼儿（1岁-3 岁）、学龄前（4-6 岁）、儿童（7-14 岁）、青少年（15-18 岁）、成人（18 岁以上-60 岁）、老人（60 岁以上）。</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五、项目内涵</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用于规范项目的服务范围、内容、方式和手段，是对医疗服务项目操作过程中各级医疗机构平均的、常规使用的设施、设备、仪器以及提供规范的技术服务内容（包括重要操作过程、主要路径、方法或步骤等，设备/仪器名称应按统称描述，不具体到某个厂家的特定仪器）的描述，是测算成本的重要参考依据，不是医疗技术诊疗规范。项目内涵使用“含”、“包括”、“不含”三个专用名词进行界定：</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（一）含：表示在医疗服务项目中应当提供的服务内容，这些服务内容不得单独分解收费。但在特殊情况下，由于患者病情需要只提供其中部分服务内容,也按此项标准计价。</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（二）包括：在“包括”后面所列的不同服务内容和不同技术方法，均按本项目同一价格标准计价。</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（三）不含：在“不含”后面所列的服务内容应单独计价。</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六、除外内容</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指在医疗服务项目中需要另行收费的药物、特殊医用消耗材料和组织器官移植的供体等。</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七、计价单位</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指提供该项目服务时的基本计价方式，重点参考现有项目的计价单位。</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八、说明</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指本项目在定价时需要特殊说明的相关事宜，重点参考现有项目的说明表述方式。</w:t>
      </w:r>
    </w:p>
    <w:p>
      <w:pPr>
        <w:widowControl/>
        <w:spacing w:line="560" w:lineRule="exact"/>
        <w:ind w:firstLine="640" w:firstLineChars="200"/>
        <w:rPr>
          <w:rFonts w:ascii="黑体" w:hAnsi="黑体" w:eastAsia="黑体" w:cs="宋体"/>
          <w:color w:val="000000"/>
          <w:sz w:val="32"/>
          <w:szCs w:val="32"/>
        </w:rPr>
      </w:pPr>
      <w:r>
        <w:rPr>
          <w:rFonts w:hint="eastAsia" w:ascii="黑体" w:hAnsi="黑体" w:eastAsia="黑体" w:cs="宋体"/>
          <w:color w:val="000000"/>
          <w:sz w:val="32"/>
          <w:szCs w:val="32"/>
        </w:rPr>
        <w:t>九、拟订价格</w:t>
      </w:r>
    </w:p>
    <w:p>
      <w:pPr>
        <w:widowControl/>
        <w:spacing w:line="560" w:lineRule="exact"/>
        <w:ind w:firstLine="640" w:firstLineChars="200"/>
        <w:rPr>
          <w:rFonts w:ascii="仿宋_GB2312" w:hAnsi="宋体" w:eastAsia="仿宋_GB2312" w:cs="宋体"/>
          <w:color w:val="000000"/>
          <w:sz w:val="32"/>
          <w:szCs w:val="32"/>
        </w:rPr>
      </w:pPr>
      <w:r>
        <w:rPr>
          <w:rFonts w:hint="eastAsia" w:ascii="仿宋_GB2312" w:hAnsi="宋体" w:eastAsia="仿宋_GB2312" w:cs="宋体"/>
          <w:color w:val="000000"/>
          <w:sz w:val="32"/>
          <w:szCs w:val="32"/>
        </w:rPr>
        <w:t>指完成该项目服务可以收取的费用，应以服务产出为导向，结合成本测算情况制定，符合质价相符原则。</w:t>
      </w:r>
    </w:p>
    <w:p>
      <w:pPr>
        <w:widowControl/>
        <w:spacing w:line="560" w:lineRule="exact"/>
        <w:ind w:firstLine="640" w:firstLineChars="200"/>
        <w:rPr>
          <w:rFonts w:eastAsia="仿宋_GB2312"/>
          <w:sz w:val="32"/>
        </w:rPr>
      </w:pPr>
      <w:r>
        <w:rPr>
          <w:rFonts w:hint="eastAsia" w:ascii="黑体" w:hAnsi="黑体" w:eastAsia="黑体"/>
          <w:sz w:val="32"/>
        </w:rPr>
        <w:t>十、</w:t>
      </w:r>
      <w:r>
        <w:rPr>
          <w:rFonts w:ascii="黑体" w:hAnsi="黑体" w:eastAsia="黑体"/>
          <w:sz w:val="32"/>
        </w:rPr>
        <w:t>项目适用范围及临床意义</w:t>
      </w:r>
    </w:p>
    <w:p>
      <w:pPr>
        <w:widowControl/>
        <w:spacing w:line="560" w:lineRule="exact"/>
        <w:ind w:firstLine="640" w:firstLineChars="200"/>
        <w:rPr>
          <w:rFonts w:ascii="仿宋_GB2312" w:hAnsi="宋体" w:eastAsia="仿宋_GB2312" w:cs="宋体"/>
          <w:color w:val="000000"/>
          <w:sz w:val="32"/>
          <w:szCs w:val="32"/>
        </w:rPr>
      </w:pPr>
      <w:r>
        <w:rPr>
          <w:rFonts w:eastAsia="仿宋_GB2312"/>
          <w:sz w:val="32"/>
        </w:rPr>
        <w:t>申报项目涉及到医疗器械的</w:t>
      </w:r>
      <w:r>
        <w:rPr>
          <w:rFonts w:hint="eastAsia" w:eastAsia="仿宋_GB2312"/>
          <w:sz w:val="32"/>
        </w:rPr>
        <w:t>，</w:t>
      </w:r>
      <w:r>
        <w:rPr>
          <w:rFonts w:eastAsia="仿宋_GB2312"/>
          <w:sz w:val="32"/>
        </w:rPr>
        <w:t>“适用范围”原则上依据市场监管部门批件上的“适用范围”填写；提供相关的佐证材料</w:t>
      </w:r>
      <w:r>
        <w:rPr>
          <w:rFonts w:hint="eastAsia" w:eastAsia="仿宋_GB2312"/>
          <w:sz w:val="32"/>
        </w:rPr>
        <w:t>（如相关文献、指南等）</w:t>
      </w:r>
      <w:r>
        <w:rPr>
          <w:rFonts w:eastAsia="仿宋_GB2312"/>
          <w:sz w:val="32"/>
        </w:rPr>
        <w:t>说明申报项目的临床意义。</w:t>
      </w:r>
    </w:p>
    <w:p>
      <w:pPr>
        <w:widowControl/>
        <w:spacing w:line="560" w:lineRule="exact"/>
        <w:ind w:firstLine="640" w:firstLineChars="200"/>
        <w:rPr>
          <w:rFonts w:ascii="黑体" w:hAnsi="黑体" w:eastAsia="黑体"/>
          <w:sz w:val="32"/>
        </w:rPr>
      </w:pPr>
      <w:r>
        <w:rPr>
          <w:rFonts w:hint="eastAsia" w:ascii="黑体" w:hAnsi="黑体" w:eastAsia="黑体"/>
          <w:sz w:val="32"/>
        </w:rPr>
        <w:t>十一、工作原理</w:t>
      </w:r>
    </w:p>
    <w:p>
      <w:pPr>
        <w:widowControl/>
        <w:spacing w:line="560" w:lineRule="exact"/>
        <w:ind w:firstLine="640" w:firstLineChars="200"/>
        <w:rPr>
          <w:rFonts w:eastAsia="仿宋_GB2312"/>
          <w:sz w:val="32"/>
        </w:rPr>
      </w:pPr>
      <w:r>
        <w:rPr>
          <w:rFonts w:hint="eastAsia" w:eastAsia="仿宋_GB2312"/>
          <w:sz w:val="32"/>
        </w:rPr>
        <w:t>该项目涉及的主要原理。</w:t>
      </w:r>
    </w:p>
    <w:p>
      <w:pPr>
        <w:widowControl/>
        <w:spacing w:line="560" w:lineRule="exact"/>
        <w:ind w:firstLine="640" w:firstLineChars="200"/>
        <w:rPr>
          <w:rFonts w:ascii="黑体" w:hAnsi="黑体" w:eastAsia="黑体"/>
          <w:sz w:val="32"/>
        </w:rPr>
      </w:pPr>
      <w:r>
        <w:rPr>
          <w:rFonts w:hint="eastAsia" w:ascii="黑体" w:hAnsi="黑体" w:eastAsia="黑体"/>
          <w:sz w:val="32"/>
        </w:rPr>
        <w:t>十二、操作规范</w:t>
      </w:r>
    </w:p>
    <w:p>
      <w:pPr>
        <w:widowControl/>
        <w:spacing w:line="560" w:lineRule="exact"/>
        <w:ind w:firstLine="640" w:firstLineChars="200"/>
        <w:rPr>
          <w:rFonts w:eastAsia="仿宋_GB2312"/>
          <w:sz w:val="32"/>
        </w:rPr>
      </w:pPr>
      <w:r>
        <w:rPr>
          <w:rFonts w:hint="eastAsia" w:eastAsia="仿宋_GB2312"/>
          <w:sz w:val="32"/>
        </w:rPr>
        <w:t>操作具体步骤。</w:t>
      </w:r>
    </w:p>
    <w:p>
      <w:pPr>
        <w:widowControl/>
        <w:spacing w:line="560" w:lineRule="exact"/>
        <w:ind w:firstLine="640" w:firstLineChars="200"/>
        <w:rPr>
          <w:rFonts w:ascii="仿宋_GB2312" w:hAnsi="宋体" w:eastAsia="仿宋_GB2312" w:cs="宋体"/>
          <w:color w:val="000000"/>
          <w:sz w:val="32"/>
          <w:szCs w:val="32"/>
        </w:rPr>
      </w:pPr>
      <w:r>
        <w:rPr>
          <w:rFonts w:hint="eastAsia" w:ascii="黑体" w:hAnsi="黑体" w:eastAsia="黑体"/>
          <w:sz w:val="32"/>
        </w:rPr>
        <w:t>十三、</w:t>
      </w:r>
      <w:r>
        <w:rPr>
          <w:rFonts w:ascii="黑体" w:hAnsi="黑体" w:eastAsia="黑体"/>
          <w:sz w:val="32"/>
        </w:rPr>
        <w:t>质量标准</w:t>
      </w:r>
    </w:p>
    <w:p>
      <w:pPr>
        <w:widowControl/>
        <w:spacing w:line="560" w:lineRule="exact"/>
        <w:ind w:firstLine="640" w:firstLineChars="200"/>
        <w:rPr>
          <w:rFonts w:eastAsia="仿宋_GB2312"/>
          <w:sz w:val="32"/>
        </w:rPr>
      </w:pPr>
      <w:r>
        <w:rPr>
          <w:rFonts w:hint="eastAsia" w:eastAsia="仿宋_GB2312"/>
          <w:sz w:val="32"/>
        </w:rPr>
        <w:t>涉及到医疗器械（独立计费耗材及设备）的，应填写医疗</w:t>
      </w:r>
      <w:r>
        <w:rPr>
          <w:rFonts w:hint="eastAsia" w:eastAsia="仿宋_GB2312"/>
          <w:sz w:val="32"/>
          <w:lang w:val="en-US" w:eastAsia="zh-CN"/>
        </w:rPr>
        <w:t>器械</w:t>
      </w:r>
      <w:r>
        <w:rPr>
          <w:rFonts w:hint="eastAsia" w:eastAsia="仿宋_GB2312"/>
          <w:sz w:val="32"/>
        </w:rPr>
        <w:t>名称、市场监管部门的注册证编号及产品标准编号等信息</w:t>
      </w:r>
      <w:r>
        <w:rPr>
          <w:rFonts w:eastAsia="仿宋_GB2312"/>
          <w:sz w:val="32"/>
        </w:rPr>
        <w:t>。</w:t>
      </w:r>
    </w:p>
    <w:p>
      <w:pPr>
        <w:widowControl/>
        <w:spacing w:line="560" w:lineRule="exact"/>
        <w:ind w:firstLine="640" w:firstLineChars="200"/>
        <w:rPr>
          <w:rFonts w:ascii="黑体" w:hAnsi="黑体" w:eastAsia="黑体"/>
          <w:sz w:val="32"/>
        </w:rPr>
      </w:pPr>
      <w:r>
        <w:rPr>
          <w:rFonts w:hint="eastAsia" w:ascii="黑体" w:hAnsi="黑体" w:eastAsia="黑体"/>
          <w:sz w:val="32"/>
        </w:rPr>
        <w:t>十四、其他要说明的情况（新增理由）</w:t>
      </w:r>
    </w:p>
    <w:p>
      <w:pPr>
        <w:widowControl/>
        <w:spacing w:line="560" w:lineRule="exact"/>
        <w:ind w:firstLine="640" w:firstLineChars="200"/>
        <w:rPr>
          <w:rFonts w:eastAsia="仿宋_GB2312"/>
          <w:sz w:val="32"/>
        </w:rPr>
      </w:pPr>
      <w:r>
        <w:rPr>
          <w:rFonts w:hint="eastAsia" w:eastAsia="仿宋_GB2312"/>
          <w:sz w:val="32"/>
        </w:rPr>
        <w:t>重点说明：1.简要概述与同类现行医疗服务价格项目的差异性，对比分析两者间的经济性、先进性和必要性；2.相关技术规范情况，如“为2</w:t>
      </w:r>
      <w:r>
        <w:rPr>
          <w:rFonts w:eastAsia="仿宋_GB2312"/>
          <w:sz w:val="32"/>
        </w:rPr>
        <w:t>022</w:t>
      </w:r>
      <w:r>
        <w:rPr>
          <w:rFonts w:hint="eastAsia" w:eastAsia="仿宋_GB2312"/>
          <w:sz w:val="32"/>
        </w:rPr>
        <w:t>版技术规范（征求意见稿）中‘XXX’项目”；3.其余省市新增情况（列明省市数量及名称，并另附相关政策文件/截图）。</w:t>
      </w:r>
    </w:p>
    <w:sectPr>
      <w:footerReference r:id="rId3" w:type="default"/>
      <w:pgSz w:w="11906" w:h="16838"/>
      <w:pgMar w:top="1440" w:right="1800" w:bottom="1440" w:left="1800" w:header="720" w:footer="720"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">
              <v:fill on="f" focussize="0,0"/>
              <v:stroke on="f" weight="0.5pt"/>
              <v:imagedata o:title=""/>
              <o:lock v:ext="edit" aspectratio="f"/>
              <v:textbox inset="0mm,0mm,0mm,0mm" style="mso-fit-shape-to-text:t;">
                <w:txbxContent>
                  <w:p>
                    <w:pPr>
                      <w:pStyle w:val="4"/>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- 1 -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361BC"/>
    <w:rsid w:val="0004036F"/>
    <w:rsid w:val="0005608B"/>
    <w:rsid w:val="00065096"/>
    <w:rsid w:val="00071136"/>
    <w:rsid w:val="00072CB6"/>
    <w:rsid w:val="00093717"/>
    <w:rsid w:val="000C504E"/>
    <w:rsid w:val="00102842"/>
    <w:rsid w:val="00106FA6"/>
    <w:rsid w:val="00166AF8"/>
    <w:rsid w:val="00180587"/>
    <w:rsid w:val="001D15A6"/>
    <w:rsid w:val="001D6B20"/>
    <w:rsid w:val="001F34EE"/>
    <w:rsid w:val="002070E0"/>
    <w:rsid w:val="002138EC"/>
    <w:rsid w:val="0023244B"/>
    <w:rsid w:val="00247A49"/>
    <w:rsid w:val="0027787F"/>
    <w:rsid w:val="00286F88"/>
    <w:rsid w:val="0029076A"/>
    <w:rsid w:val="002A06BF"/>
    <w:rsid w:val="002B2924"/>
    <w:rsid w:val="002D4D59"/>
    <w:rsid w:val="002D62A7"/>
    <w:rsid w:val="002E3D22"/>
    <w:rsid w:val="0030671C"/>
    <w:rsid w:val="00331233"/>
    <w:rsid w:val="0039524C"/>
    <w:rsid w:val="003A0133"/>
    <w:rsid w:val="003B217A"/>
    <w:rsid w:val="003C11E4"/>
    <w:rsid w:val="0041739D"/>
    <w:rsid w:val="00446C64"/>
    <w:rsid w:val="004516AC"/>
    <w:rsid w:val="00475D1C"/>
    <w:rsid w:val="0048040C"/>
    <w:rsid w:val="00482F3D"/>
    <w:rsid w:val="004B0BB1"/>
    <w:rsid w:val="004C1054"/>
    <w:rsid w:val="004E3E93"/>
    <w:rsid w:val="004E7DA7"/>
    <w:rsid w:val="00510E63"/>
    <w:rsid w:val="0051657C"/>
    <w:rsid w:val="00530C0A"/>
    <w:rsid w:val="0056620E"/>
    <w:rsid w:val="00583E96"/>
    <w:rsid w:val="005C355F"/>
    <w:rsid w:val="005D051F"/>
    <w:rsid w:val="005D66B4"/>
    <w:rsid w:val="00622C83"/>
    <w:rsid w:val="006320F4"/>
    <w:rsid w:val="006B2F33"/>
    <w:rsid w:val="006C250E"/>
    <w:rsid w:val="006C2FD4"/>
    <w:rsid w:val="006C604B"/>
    <w:rsid w:val="006D0957"/>
    <w:rsid w:val="006F6D2F"/>
    <w:rsid w:val="006F7AF1"/>
    <w:rsid w:val="00707E17"/>
    <w:rsid w:val="00736974"/>
    <w:rsid w:val="00736D48"/>
    <w:rsid w:val="00757873"/>
    <w:rsid w:val="00761D60"/>
    <w:rsid w:val="00761FE5"/>
    <w:rsid w:val="0078051F"/>
    <w:rsid w:val="007C27F0"/>
    <w:rsid w:val="007C30E3"/>
    <w:rsid w:val="00803483"/>
    <w:rsid w:val="00805AEC"/>
    <w:rsid w:val="00810DE6"/>
    <w:rsid w:val="00810EFB"/>
    <w:rsid w:val="008129C6"/>
    <w:rsid w:val="008132DD"/>
    <w:rsid w:val="00816C7A"/>
    <w:rsid w:val="00827A94"/>
    <w:rsid w:val="00833204"/>
    <w:rsid w:val="008809C9"/>
    <w:rsid w:val="008A1628"/>
    <w:rsid w:val="008B4E77"/>
    <w:rsid w:val="008F444F"/>
    <w:rsid w:val="00900784"/>
    <w:rsid w:val="009150C0"/>
    <w:rsid w:val="009405A0"/>
    <w:rsid w:val="00954314"/>
    <w:rsid w:val="00983983"/>
    <w:rsid w:val="009852B0"/>
    <w:rsid w:val="009A5CA8"/>
    <w:rsid w:val="00A17E81"/>
    <w:rsid w:val="00A25AD0"/>
    <w:rsid w:val="00A57140"/>
    <w:rsid w:val="00A61788"/>
    <w:rsid w:val="00A62C70"/>
    <w:rsid w:val="00A703EA"/>
    <w:rsid w:val="00AA69FA"/>
    <w:rsid w:val="00AC7DE9"/>
    <w:rsid w:val="00AF5820"/>
    <w:rsid w:val="00B252D9"/>
    <w:rsid w:val="00B2580F"/>
    <w:rsid w:val="00B260B9"/>
    <w:rsid w:val="00B30A35"/>
    <w:rsid w:val="00B956A7"/>
    <w:rsid w:val="00BA6CD8"/>
    <w:rsid w:val="00BD008C"/>
    <w:rsid w:val="00BD092E"/>
    <w:rsid w:val="00BE41D9"/>
    <w:rsid w:val="00C10E0C"/>
    <w:rsid w:val="00C27688"/>
    <w:rsid w:val="00C54156"/>
    <w:rsid w:val="00C60ECB"/>
    <w:rsid w:val="00C71407"/>
    <w:rsid w:val="00CA377E"/>
    <w:rsid w:val="00CA3F3F"/>
    <w:rsid w:val="00CB311F"/>
    <w:rsid w:val="00CF4C9D"/>
    <w:rsid w:val="00D03F1C"/>
    <w:rsid w:val="00D1407F"/>
    <w:rsid w:val="00D152CF"/>
    <w:rsid w:val="00D15988"/>
    <w:rsid w:val="00DA2BCD"/>
    <w:rsid w:val="00DB3343"/>
    <w:rsid w:val="00DE1D8F"/>
    <w:rsid w:val="00DE645B"/>
    <w:rsid w:val="00E3222C"/>
    <w:rsid w:val="00E46A55"/>
    <w:rsid w:val="00E65391"/>
    <w:rsid w:val="00E70C37"/>
    <w:rsid w:val="00E74F7B"/>
    <w:rsid w:val="00E7728F"/>
    <w:rsid w:val="00E80BE2"/>
    <w:rsid w:val="00E8593B"/>
    <w:rsid w:val="00ED1983"/>
    <w:rsid w:val="00EE38F3"/>
    <w:rsid w:val="00F37C7D"/>
    <w:rsid w:val="00F47E0A"/>
    <w:rsid w:val="00F6513F"/>
    <w:rsid w:val="00FA1D95"/>
    <w:rsid w:val="00FA3014"/>
    <w:rsid w:val="00FE70D0"/>
    <w:rsid w:val="00FF251D"/>
    <w:rsid w:val="01385D91"/>
    <w:rsid w:val="01B5526C"/>
    <w:rsid w:val="01CB485B"/>
    <w:rsid w:val="02001F0C"/>
    <w:rsid w:val="026F5B78"/>
    <w:rsid w:val="027A6724"/>
    <w:rsid w:val="0300348A"/>
    <w:rsid w:val="03247ADE"/>
    <w:rsid w:val="034A13FF"/>
    <w:rsid w:val="04996A0F"/>
    <w:rsid w:val="06323DDB"/>
    <w:rsid w:val="06677D58"/>
    <w:rsid w:val="077D2AF4"/>
    <w:rsid w:val="079912F0"/>
    <w:rsid w:val="07C3491D"/>
    <w:rsid w:val="085612A7"/>
    <w:rsid w:val="08C361BC"/>
    <w:rsid w:val="09234612"/>
    <w:rsid w:val="092A795C"/>
    <w:rsid w:val="0A033F69"/>
    <w:rsid w:val="0B472CA3"/>
    <w:rsid w:val="0CC02C91"/>
    <w:rsid w:val="0D6A62CB"/>
    <w:rsid w:val="0D812362"/>
    <w:rsid w:val="0DA60D51"/>
    <w:rsid w:val="0DD31426"/>
    <w:rsid w:val="0DFA36CC"/>
    <w:rsid w:val="0E465CE9"/>
    <w:rsid w:val="0FC63284"/>
    <w:rsid w:val="0FD1656D"/>
    <w:rsid w:val="10042F3F"/>
    <w:rsid w:val="105640D7"/>
    <w:rsid w:val="10974472"/>
    <w:rsid w:val="10BD2B8C"/>
    <w:rsid w:val="10CF0C8A"/>
    <w:rsid w:val="10E72BA6"/>
    <w:rsid w:val="11E40A59"/>
    <w:rsid w:val="12494871"/>
    <w:rsid w:val="125856E2"/>
    <w:rsid w:val="13651B90"/>
    <w:rsid w:val="13B2035B"/>
    <w:rsid w:val="14993E09"/>
    <w:rsid w:val="14A600EB"/>
    <w:rsid w:val="15431DC7"/>
    <w:rsid w:val="15872E73"/>
    <w:rsid w:val="15E97B40"/>
    <w:rsid w:val="16396931"/>
    <w:rsid w:val="167B36EE"/>
    <w:rsid w:val="16C3726A"/>
    <w:rsid w:val="17862E70"/>
    <w:rsid w:val="17A7366A"/>
    <w:rsid w:val="17CB77FF"/>
    <w:rsid w:val="18387BAD"/>
    <w:rsid w:val="191C69FC"/>
    <w:rsid w:val="194C57A1"/>
    <w:rsid w:val="19826289"/>
    <w:rsid w:val="1A4C1A9A"/>
    <w:rsid w:val="1AAD2AC4"/>
    <w:rsid w:val="1AAF3504"/>
    <w:rsid w:val="1AD30CEB"/>
    <w:rsid w:val="1AEE7A23"/>
    <w:rsid w:val="1B116A1C"/>
    <w:rsid w:val="1B593C64"/>
    <w:rsid w:val="1C6E055A"/>
    <w:rsid w:val="1CE27E15"/>
    <w:rsid w:val="1DA40322"/>
    <w:rsid w:val="1DE0749F"/>
    <w:rsid w:val="1E3A517E"/>
    <w:rsid w:val="1E8D0C85"/>
    <w:rsid w:val="1EA2057E"/>
    <w:rsid w:val="1EAB3294"/>
    <w:rsid w:val="1EB85988"/>
    <w:rsid w:val="1F2C100C"/>
    <w:rsid w:val="1F675B8B"/>
    <w:rsid w:val="1F8B5F1B"/>
    <w:rsid w:val="202F158F"/>
    <w:rsid w:val="20E37D58"/>
    <w:rsid w:val="21834535"/>
    <w:rsid w:val="238809EA"/>
    <w:rsid w:val="23912A51"/>
    <w:rsid w:val="25067529"/>
    <w:rsid w:val="25155433"/>
    <w:rsid w:val="25C83CF0"/>
    <w:rsid w:val="261216CB"/>
    <w:rsid w:val="265A43DE"/>
    <w:rsid w:val="27481F88"/>
    <w:rsid w:val="277309FF"/>
    <w:rsid w:val="278B1F81"/>
    <w:rsid w:val="284D4910"/>
    <w:rsid w:val="2A211576"/>
    <w:rsid w:val="2B172E0B"/>
    <w:rsid w:val="2B582736"/>
    <w:rsid w:val="2C3254F9"/>
    <w:rsid w:val="2C575FBD"/>
    <w:rsid w:val="2D451B7B"/>
    <w:rsid w:val="2D54222B"/>
    <w:rsid w:val="2D6655DE"/>
    <w:rsid w:val="2D865CFA"/>
    <w:rsid w:val="2DD778F3"/>
    <w:rsid w:val="2E166521"/>
    <w:rsid w:val="2E841047"/>
    <w:rsid w:val="2F4947BC"/>
    <w:rsid w:val="30722BF6"/>
    <w:rsid w:val="30B0383F"/>
    <w:rsid w:val="30E67745"/>
    <w:rsid w:val="314569E7"/>
    <w:rsid w:val="316D6CAD"/>
    <w:rsid w:val="319B7930"/>
    <w:rsid w:val="323C07F8"/>
    <w:rsid w:val="32A07F8D"/>
    <w:rsid w:val="32C02B3D"/>
    <w:rsid w:val="33376D3E"/>
    <w:rsid w:val="33426D76"/>
    <w:rsid w:val="33BB5DF9"/>
    <w:rsid w:val="354737B7"/>
    <w:rsid w:val="35924452"/>
    <w:rsid w:val="35A014EF"/>
    <w:rsid w:val="36863EA9"/>
    <w:rsid w:val="36BE1476"/>
    <w:rsid w:val="36CC0D14"/>
    <w:rsid w:val="37F34A1C"/>
    <w:rsid w:val="37FE056F"/>
    <w:rsid w:val="384C71DE"/>
    <w:rsid w:val="39A94A9C"/>
    <w:rsid w:val="39B42AAA"/>
    <w:rsid w:val="3A0F5E35"/>
    <w:rsid w:val="3A4C3185"/>
    <w:rsid w:val="3AB9224D"/>
    <w:rsid w:val="3AEF440D"/>
    <w:rsid w:val="3BAE7B4F"/>
    <w:rsid w:val="3BB35737"/>
    <w:rsid w:val="3C087581"/>
    <w:rsid w:val="3C6F6CEA"/>
    <w:rsid w:val="3DC20580"/>
    <w:rsid w:val="3DDE6EF4"/>
    <w:rsid w:val="3DEC4A35"/>
    <w:rsid w:val="3F100B1B"/>
    <w:rsid w:val="3F21435E"/>
    <w:rsid w:val="3F5A14C1"/>
    <w:rsid w:val="3FB35160"/>
    <w:rsid w:val="40021E6C"/>
    <w:rsid w:val="407A3FCD"/>
    <w:rsid w:val="40F65B24"/>
    <w:rsid w:val="41663115"/>
    <w:rsid w:val="41724E8E"/>
    <w:rsid w:val="42670BEC"/>
    <w:rsid w:val="427629C5"/>
    <w:rsid w:val="428D365F"/>
    <w:rsid w:val="42D56963"/>
    <w:rsid w:val="43D4192B"/>
    <w:rsid w:val="44F83C9B"/>
    <w:rsid w:val="44FD7570"/>
    <w:rsid w:val="45AC30F8"/>
    <w:rsid w:val="45F10F3F"/>
    <w:rsid w:val="460F406A"/>
    <w:rsid w:val="468A3765"/>
    <w:rsid w:val="46F13E05"/>
    <w:rsid w:val="47880D06"/>
    <w:rsid w:val="47AF42C9"/>
    <w:rsid w:val="47DA03B0"/>
    <w:rsid w:val="488C30FD"/>
    <w:rsid w:val="49DC5CEC"/>
    <w:rsid w:val="4A2452B6"/>
    <w:rsid w:val="4AAA174B"/>
    <w:rsid w:val="4B062CCB"/>
    <w:rsid w:val="4B3604B4"/>
    <w:rsid w:val="4B5F4D38"/>
    <w:rsid w:val="4BA82487"/>
    <w:rsid w:val="4C1074CC"/>
    <w:rsid w:val="4CA22F3A"/>
    <w:rsid w:val="4EA322D0"/>
    <w:rsid w:val="4EBB209B"/>
    <w:rsid w:val="4F242F46"/>
    <w:rsid w:val="4F4A5859"/>
    <w:rsid w:val="517B6C4D"/>
    <w:rsid w:val="51F22B24"/>
    <w:rsid w:val="51F856D5"/>
    <w:rsid w:val="52116874"/>
    <w:rsid w:val="52912199"/>
    <w:rsid w:val="52DF03B6"/>
    <w:rsid w:val="53134616"/>
    <w:rsid w:val="53164C4D"/>
    <w:rsid w:val="53893E11"/>
    <w:rsid w:val="544930D8"/>
    <w:rsid w:val="550A0F98"/>
    <w:rsid w:val="551019A3"/>
    <w:rsid w:val="55DC3498"/>
    <w:rsid w:val="57515D1F"/>
    <w:rsid w:val="57B340A8"/>
    <w:rsid w:val="57DE36F2"/>
    <w:rsid w:val="58020A28"/>
    <w:rsid w:val="580433A4"/>
    <w:rsid w:val="582F41CB"/>
    <w:rsid w:val="58740C6A"/>
    <w:rsid w:val="58B05934"/>
    <w:rsid w:val="58D14AAC"/>
    <w:rsid w:val="58D8159F"/>
    <w:rsid w:val="591F24F2"/>
    <w:rsid w:val="593E35EC"/>
    <w:rsid w:val="598867CF"/>
    <w:rsid w:val="59EF7E3B"/>
    <w:rsid w:val="5A2F6F33"/>
    <w:rsid w:val="5A8B697A"/>
    <w:rsid w:val="5BB16668"/>
    <w:rsid w:val="5BC72B19"/>
    <w:rsid w:val="5BED183A"/>
    <w:rsid w:val="5C810BD8"/>
    <w:rsid w:val="5D2868FA"/>
    <w:rsid w:val="5D4B0E94"/>
    <w:rsid w:val="5D9A041B"/>
    <w:rsid w:val="5DAA5172"/>
    <w:rsid w:val="5DC32CD8"/>
    <w:rsid w:val="5F434C80"/>
    <w:rsid w:val="5FAA44B5"/>
    <w:rsid w:val="6049467E"/>
    <w:rsid w:val="60BB690A"/>
    <w:rsid w:val="613C5E17"/>
    <w:rsid w:val="627B66D3"/>
    <w:rsid w:val="62955BD0"/>
    <w:rsid w:val="62A92B82"/>
    <w:rsid w:val="630A6D4B"/>
    <w:rsid w:val="635A4C5A"/>
    <w:rsid w:val="643332D0"/>
    <w:rsid w:val="643B7E75"/>
    <w:rsid w:val="64864866"/>
    <w:rsid w:val="64C61946"/>
    <w:rsid w:val="64FE16EC"/>
    <w:rsid w:val="655D47A5"/>
    <w:rsid w:val="65743231"/>
    <w:rsid w:val="66070BF1"/>
    <w:rsid w:val="66301858"/>
    <w:rsid w:val="665F4DBE"/>
    <w:rsid w:val="667A0BDA"/>
    <w:rsid w:val="6687575C"/>
    <w:rsid w:val="67161676"/>
    <w:rsid w:val="67573C71"/>
    <w:rsid w:val="67B8572C"/>
    <w:rsid w:val="67F40DA3"/>
    <w:rsid w:val="68343E8D"/>
    <w:rsid w:val="6845411A"/>
    <w:rsid w:val="68D22EA2"/>
    <w:rsid w:val="69822314"/>
    <w:rsid w:val="69C045B3"/>
    <w:rsid w:val="6A035E26"/>
    <w:rsid w:val="6A6C6A76"/>
    <w:rsid w:val="6A98768E"/>
    <w:rsid w:val="6ADB1633"/>
    <w:rsid w:val="6B683AC3"/>
    <w:rsid w:val="6CE41319"/>
    <w:rsid w:val="6EA81522"/>
    <w:rsid w:val="6ED72FA5"/>
    <w:rsid w:val="6EF01ABB"/>
    <w:rsid w:val="6F056646"/>
    <w:rsid w:val="6F063E1D"/>
    <w:rsid w:val="6F8D325E"/>
    <w:rsid w:val="6FA77101"/>
    <w:rsid w:val="6FAC007E"/>
    <w:rsid w:val="701C05FB"/>
    <w:rsid w:val="70792E51"/>
    <w:rsid w:val="70BA499D"/>
    <w:rsid w:val="712A0502"/>
    <w:rsid w:val="71974152"/>
    <w:rsid w:val="719B49BF"/>
    <w:rsid w:val="72493BE6"/>
    <w:rsid w:val="736B0FA6"/>
    <w:rsid w:val="739936F3"/>
    <w:rsid w:val="73EB249E"/>
    <w:rsid w:val="73FC57DD"/>
    <w:rsid w:val="74E8609E"/>
    <w:rsid w:val="75386AE7"/>
    <w:rsid w:val="75894AC6"/>
    <w:rsid w:val="759056C6"/>
    <w:rsid w:val="759959DA"/>
    <w:rsid w:val="759A5C71"/>
    <w:rsid w:val="75E24533"/>
    <w:rsid w:val="774461E1"/>
    <w:rsid w:val="778B2309"/>
    <w:rsid w:val="77914B9D"/>
    <w:rsid w:val="779A0085"/>
    <w:rsid w:val="77CB6575"/>
    <w:rsid w:val="787747D1"/>
    <w:rsid w:val="78A85DD8"/>
    <w:rsid w:val="78E44498"/>
    <w:rsid w:val="7A533504"/>
    <w:rsid w:val="7AD236F2"/>
    <w:rsid w:val="7C3A6EB8"/>
    <w:rsid w:val="7C6123E6"/>
    <w:rsid w:val="7C657E26"/>
    <w:rsid w:val="7C70398D"/>
    <w:rsid w:val="7CE55BC0"/>
    <w:rsid w:val="7D75485C"/>
    <w:rsid w:val="7D92526D"/>
    <w:rsid w:val="7DBD0E79"/>
    <w:rsid w:val="7DF60747"/>
    <w:rsid w:val="7E9D319A"/>
    <w:rsid w:val="7F0F4082"/>
    <w:rsid w:val="7F455663"/>
    <w:rsid w:val="7FE46A60"/>
    <w:rsid w:val="9EDF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sz w:val="24"/>
    </w:rPr>
  </w:style>
  <w:style w:type="paragraph" w:styleId="7">
    <w:name w:val="annotation subject"/>
    <w:basedOn w:val="2"/>
    <w:next w:val="2"/>
    <w:link w:val="14"/>
    <w:qFormat/>
    <w:uiPriority w:val="0"/>
    <w:rPr>
      <w:b/>
      <w:bCs/>
    </w:r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character" w:customStyle="1" w:styleId="12">
    <w:name w:val="批注框文本 字符"/>
    <w:basedOn w:val="9"/>
    <w:link w:val="3"/>
    <w:qFormat/>
    <w:uiPriority w:val="0"/>
    <w:rPr>
      <w:sz w:val="18"/>
      <w:szCs w:val="18"/>
    </w:rPr>
  </w:style>
  <w:style w:type="character" w:customStyle="1" w:styleId="13">
    <w:name w:val="批注文字 字符"/>
    <w:basedOn w:val="9"/>
    <w:link w:val="2"/>
    <w:qFormat/>
    <w:uiPriority w:val="99"/>
    <w:rPr>
      <w:sz w:val="21"/>
      <w:szCs w:val="22"/>
    </w:rPr>
  </w:style>
  <w:style w:type="character" w:customStyle="1" w:styleId="14">
    <w:name w:val="批注主题 字符"/>
    <w:basedOn w:val="13"/>
    <w:link w:val="7"/>
    <w:qFormat/>
    <w:uiPriority w:val="0"/>
    <w:rPr>
      <w:b/>
      <w:bCs/>
      <w:sz w:val="21"/>
      <w:szCs w:val="22"/>
    </w:rPr>
  </w:style>
  <w:style w:type="paragraph" w:customStyle="1" w:styleId="15">
    <w:name w:val="修订1"/>
    <w:hidden/>
    <w:semiHidden/>
    <w:qFormat/>
    <w:uiPriority w:val="99"/>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305</Words>
  <Characters>1743</Characters>
  <Lines>14</Lines>
  <Paragraphs>4</Paragraphs>
  <TotalTime>92</TotalTime>
  <ScaleCrop>false</ScaleCrop>
  <LinksUpToDate>false</LinksUpToDate>
  <CharactersWithSpaces>2044</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2019-07-25T14:13:00Z</dcterms:created>
  <dc:creator>姚丽平</dc:creator>
  <cp:lastModifiedBy>penghaozhe</cp:lastModifiedBy>
  <cp:lastPrinted>2022-05-27T14:39:00Z</cp:lastPrinted>
  <dcterms:modified xsi:type="dcterms:W3CDTF">2023-05-18T18:26:45Z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0739inqofqajk90mrd5jh0</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269927</vt:i4>
  </property>
  <property fmtid="{D5CDD505-2E9C-101B-9397-08002B2CF9AE}" pid="9" name="cp_itemType">
    <vt:lpwstr>missive</vt:lpwstr>
  </property>
  <property fmtid="{D5CDD505-2E9C-101B-9397-08002B2CF9AE}" pid="10" name="cp_title">
    <vt:lpwstr>广东省医疗保障局关于印发新增医疗服务价格项目管理暂行办法的通知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WPSExtOfficeTab;btnShowRevision;btnUploadOA;btnSaveAsLocal;btnInsertRedHeader</vt:lpwstr>
  </property>
  <property fmtid="{D5CDD505-2E9C-101B-9397-08002B2CF9AE}" pid="18" name="uploadPath">
    <vt:lpwstr>https://xtbgsafe.gdzwfw.gov.cn/szoa/instance-web/minstone/wfDocBody/saveDocBodyWps?flowInid=269927&amp;stepInco=4739888&amp;dealIndx=1&amp;openType=1&amp;flowId=162&amp;stepCode=165&amp;readOnly=0&amp;curUserCode=13682274784&amp;sysCode=MD_YBJ_OA&amp;tenantCode=GDSXXZX&amp;r=0.8748103146336847&amp;</vt:lpwstr>
  </property>
  <property fmtid="{D5CDD505-2E9C-101B-9397-08002B2CF9AE}" pid="19" name="urlParams">
    <vt:lpwstr>flowInid=269927&amp;stepInco=4739888&amp;dealIndx=1&amp;openType=1&amp;flowId=162&amp;stepCode=165&amp;readOnly=0&amp;curUserCode=13682274784&amp;sysCode=MD_YBJ_OA&amp;tenantCode=GDSXXZX&amp;r=0.8748103146336847&amp;fileCode=24eeaa25ba2e41b596c65d081337be64&amp;id=24eeaa25ba2e41b596c65d081337be64&amp;docTe</vt:lpwstr>
  </property>
  <property fmtid="{D5CDD505-2E9C-101B-9397-08002B2CF9AE}" pid="20" name="lockDocUrl">
    <vt:lpwstr>https://xtbgsafe.gdzwfw.gov.cn/szoa/instance-web/minstone/wfDocBody/getLockInfo?flowInid=269927&amp;stepInco=4739888&amp;dealIndx=1&amp;openType=1&amp;flowId=162&amp;stepCode=165&amp;readOnly=0&amp;curUserCode=13682274784&amp;sysCode=MD_YBJ_OA&amp;tenantCode=GDSXXZX&amp;r=0.8748103146336847&amp;fil</vt:lpwstr>
  </property>
  <property fmtid="{D5CDD505-2E9C-101B-9397-08002B2CF9AE}" pid="21" name="copyUrl">
    <vt:lpwstr>https://xtbgsafe.gdzwfw.gov.cn/szoa/instance-web/minstone/wfDocBody/copyDoc?flowInid=269927&amp;stepInco=4739888&amp;dealIndx=1&amp;openType=1&amp;flowId=162&amp;stepCode=165&amp;readOnly=0&amp;curUserCode=13682274784&amp;sysCode=MD_YBJ_OA&amp;tenantCode=GDSXXZX&amp;r=0.8748103146336847&amp;fileCod</vt:lpwstr>
  </property>
  <property fmtid="{D5CDD505-2E9C-101B-9397-08002B2CF9AE}" pid="22" name="unLockDocurl">
    <vt:lpwstr>https://xtbgsafe.gdzwfw.gov.cn/szoa/instance-web/minstone/wfDocBody/unLockDoc?flowInid=269927&amp;stepInco=4739888&amp;dealIndx=1&amp;openType=1&amp;flowId=162&amp;stepCode=165&amp;readOnly=0&amp;curUserCode=13682274784&amp;sysCode=MD_YBJ_OA&amp;tenantCode=GDSXXZX&amp;r=0.8748103146336847&amp;fileC</vt:lpwstr>
  </property>
  <property fmtid="{D5CDD505-2E9C-101B-9397-08002B2CF9AE}" pid="23" name="showSavePromptFlag">
    <vt:lpwstr>true</vt:lpwstr>
  </property>
  <property fmtid="{D5CDD505-2E9C-101B-9397-08002B2CF9AE}" pid="24" name="ribbonExt">
    <vt:lpwstr>{"WPSExtOfficeTab":{"OnGetEnabled":false,"OnGetVisible":false}}</vt:lpwstr>
  </property>
  <property fmtid="{D5CDD505-2E9C-101B-9397-08002B2CF9AE}" pid="25" name="ICV">
    <vt:lpwstr>94C1F009B715567765FD6564355836CF</vt:lpwstr>
  </property>
</Properties>
</file>